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41" w:rsidRDefault="00314741" w:rsidP="003147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</w:pPr>
      <w:r w:rsidRPr="00314741"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>SỰ BIẾN ĐỔI TUẦN HOÀN</w:t>
      </w:r>
      <w:r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 xml:space="preserve"> CẤU HÌNH ELECTRON NGUYÊN TỬ</w:t>
      </w:r>
    </w:p>
    <w:p w:rsidR="00314741" w:rsidRDefault="00314741" w:rsidP="003147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>TÍNH CHẤT HÓA HỌC CỦA CÁC NGUYÊN TỐ HÓA HỌC.</w:t>
      </w:r>
    </w:p>
    <w:p w:rsidR="00314741" w:rsidRPr="00314741" w:rsidRDefault="00314741" w:rsidP="003147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</w:pPr>
      <w:r w:rsidRPr="00314741"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>ĐỊNH LUẬT TUẦN HOÀN</w:t>
      </w:r>
    </w:p>
    <w:p w:rsidR="00314741" w:rsidRPr="00314741" w:rsidRDefault="00314741" w:rsidP="003147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vanish/>
          <w:color w:val="000000" w:themeColor="text1"/>
          <w:sz w:val="26"/>
          <w:szCs w:val="26"/>
        </w:rPr>
      </w:pPr>
    </w:p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tố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A ở chu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kì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3,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nhóm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VA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trong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bảng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HTTH.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Xác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định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số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proton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proofErr w:type="gram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tố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:</w:t>
      </w:r>
      <w:proofErr w:type="gram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314741" w:rsidRPr="00314741" w:rsidTr="00314741"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15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kì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sang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kính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314741" w:rsidRPr="00314741" w:rsidTr="00314741"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dần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14741" w:rsidRPr="00314741" w:rsidTr="00314741"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tăng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dần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thay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3: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Ở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trạng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31474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35A514D2" wp14:editId="191C9874">
            <wp:extent cx="276225" cy="209550"/>
            <wp:effectExtent l="0" t="0" r="9525" b="0"/>
            <wp:docPr id="2" name="Picture 2" descr="php1kzQZk_html_bec42b5b7085ea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p1kzQZk_html_bec42b5b7085ea57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314741" w:rsidRPr="00314741" w:rsidTr="00314741"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2p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5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2p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4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2p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6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2p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6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4: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Trong một chu kì, theo chiều tăng của điện tích hạt nhân thì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2"/>
      </w:tblGrid>
      <w:tr w:rsidR="00314741" w:rsidRPr="00314741" w:rsidTr="00314741">
        <w:tc>
          <w:tcPr>
            <w:tcW w:w="10642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Tính axit của oxit và hiđroxit tương ứng tăng dần đồng thời tính bazơ của chúng giảm dần.</w:t>
            </w:r>
          </w:p>
        </w:tc>
      </w:tr>
      <w:tr w:rsidR="00314741" w:rsidRPr="00314741" w:rsidTr="00314741">
        <w:tc>
          <w:tcPr>
            <w:tcW w:w="10642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Tính axit và bazơ của oxit và hiđroxit tương ứng tăng dần.</w:t>
            </w:r>
          </w:p>
        </w:tc>
      </w:tr>
      <w:tr w:rsidR="00314741" w:rsidRPr="00314741" w:rsidTr="00314741">
        <w:tc>
          <w:tcPr>
            <w:tcW w:w="10642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Tính axit của oxit và hiđroxit tương ứng giảm dần đồng thời tính bazơ của chúng tăng dần.</w:t>
            </w:r>
          </w:p>
        </w:tc>
      </w:tr>
      <w:tr w:rsidR="00314741" w:rsidRPr="00314741" w:rsidTr="00314741">
        <w:tc>
          <w:tcPr>
            <w:tcW w:w="10642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Tính axit và bazơ của oxit và hiđroxit tương ứng giảm dần.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5: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kì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314741" w:rsidRPr="00314741" w:rsidTr="00314741"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tăng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dần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14741" w:rsidRPr="00314741" w:rsidTr="00314741"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thay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dần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6: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A,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dần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314741" w:rsidRPr="00314741" w:rsidTr="00314741"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bán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kính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phi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phi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14741" w:rsidRPr="00314741" w:rsidTr="00314741"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bán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kính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7: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A,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kì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lặp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kì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tuần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2"/>
      </w:tblGrid>
      <w:tr w:rsidR="00314741" w:rsidRPr="00314741" w:rsidTr="00314741">
        <w:tc>
          <w:tcPr>
            <w:tcW w:w="10642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lặp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phi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so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14741" w:rsidRPr="00314741" w:rsidTr="00314741">
        <w:tc>
          <w:tcPr>
            <w:tcW w:w="10642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lặp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so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14741" w:rsidRPr="00314741" w:rsidTr="00314741">
        <w:tc>
          <w:tcPr>
            <w:tcW w:w="10642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lặp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cấu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electron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ngoài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so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14741" w:rsidRPr="00314741" w:rsidTr="00314741">
        <w:tc>
          <w:tcPr>
            <w:tcW w:w="10642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lặp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so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8: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IA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314741" w:rsidRPr="00314741" w:rsidTr="00314741"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(n-1)d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10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np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9: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A,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314741" w:rsidRPr="00314741" w:rsidTr="00314741"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tăng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dần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14741" w:rsidRPr="00314741" w:rsidTr="00314741"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thay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dần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10: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kì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314741" w:rsidRPr="00314741" w:rsidTr="00314741"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bán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kính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phi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tăng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bán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kính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xuống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phi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tăng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14741" w:rsidRPr="00314741" w:rsidTr="00314741"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bán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kính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tăng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phi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xuống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bán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kính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phi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xuống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11: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Clo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tuần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kí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31474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79115DA6" wp14:editId="2A429C65">
            <wp:extent cx="238125" cy="209550"/>
            <wp:effectExtent l="0" t="0" r="9525" b="0"/>
            <wp:docPr id="1" name="Picture 1" descr="php1kzQZk_html_7e9b8fb91bd349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p1kzQZk_html_7e9b8fb91bd3496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314741" w:rsidRPr="00314741" w:rsidTr="00314741"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Ô 35,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4,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VIIA</w:t>
            </w:r>
          </w:p>
        </w:tc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Ô 17,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3,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VIIA</w:t>
            </w:r>
          </w:p>
        </w:tc>
      </w:tr>
      <w:tr w:rsidR="00314741" w:rsidRPr="00314741" w:rsidTr="00314741"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Ô 17,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3,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VA</w:t>
            </w:r>
          </w:p>
        </w:tc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Ô 35,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4,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VA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12: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kì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phi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314741" w:rsidRPr="00314741" w:rsidTr="00314741"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tăng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dần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thay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14741" w:rsidRPr="00314741" w:rsidTr="00314741"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dần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13: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VIIA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314741" w:rsidRPr="00314741" w:rsidTr="00314741"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np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np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5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14: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X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e ở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3p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4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X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314741" w:rsidRPr="00314741" w:rsidTr="00314741"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4,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IVB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4,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VIB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3,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IVA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3,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VIA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15: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l-PL"/>
        </w:rPr>
        <w:t>Nguyên tố X thuộc nhóm IIA của bảng tuần hoàn các nguyên tố hóa học. Công thức hiđroxit của X có dạng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314741" w:rsidRPr="00314741" w:rsidTr="00314741"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XOH.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X(OH)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nl-NL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X(OH)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nl-NL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X(OH)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nl-NL"/>
              </w:rPr>
              <w:t>4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16: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Oxit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cao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nhất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của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R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có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dạng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RO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  <w:lang w:val="es-ES"/>
        </w:rPr>
        <w:t>3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,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hợp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chất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khí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với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hiđro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của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R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có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dạng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: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314741" w:rsidRPr="00314741" w:rsidTr="00314741"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RH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pt-BR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RH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pt-BR"/>
              </w:rPr>
              <w:t>4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RH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pt-BR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RH.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17: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Một nguyên tố hóa học X ở chu kì 3, nhóm VA. 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X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314741" w:rsidRPr="00314741" w:rsidTr="00314741"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2s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2p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6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3s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3p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5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2s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2p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6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3s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3p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4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1s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2s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2p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6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3s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3p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1s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2s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2p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6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3s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3p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.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18: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Hợp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chất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khí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với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H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của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R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có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dạng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RH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  <w:lang w:val="es-ES"/>
        </w:rPr>
        <w:t>4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,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công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thức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oxit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cao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nhất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của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R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có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dạng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  <w:t>: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314741" w:rsidRPr="00314741" w:rsidTr="00314741"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s-ES"/>
              </w:rPr>
              <w:t>R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es-ES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s-ES"/>
              </w:rPr>
              <w:t>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es-ES"/>
              </w:rPr>
              <w:t>5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s-ES"/>
              </w:rPr>
              <w:t>R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es-ES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s-ES"/>
              </w:rPr>
              <w:t>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es-ES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RO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pt-BR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s-ES"/>
              </w:rPr>
              <w:t>R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es-ES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s-ES"/>
              </w:rPr>
              <w:t>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es-ES"/>
              </w:rPr>
              <w:t>7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19: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l-PL"/>
        </w:rPr>
        <w:t>Nguyên tố R thuộc nhóm IIIA của bảng tuần hoàn các nguyên tố hóa học. Công thức oxit cao nhất của R là: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314741" w:rsidRPr="00314741" w:rsidTr="00314741"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l-PL"/>
              </w:rPr>
              <w:t>R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pl-PL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l-PL"/>
              </w:rPr>
              <w:t>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pl-PL"/>
              </w:rPr>
              <w:t>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l-PL"/>
              </w:rPr>
              <w:t>R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pl-PL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l-PL"/>
              </w:rPr>
              <w:t>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pl-PL"/>
              </w:rPr>
              <w:t>3.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7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20: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Cho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Li, 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11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Na, 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19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K.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Dãy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sắp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xếp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dần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314741" w:rsidRPr="00314741" w:rsidTr="00314741"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Na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&gt; K&gt; Li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 &gt; Na&gt; Li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&gt; Na &gt; K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K&gt; Li &gt; Na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21: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Cho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9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F, 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16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S, 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17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Cl.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Dãy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sắp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xếp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phi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dần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314741" w:rsidRPr="00314741" w:rsidTr="00314741"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F &gt; S&gt; Cl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 &gt; Cl &gt; F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F &gt; Cl &gt; S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 &gt; F &gt; Cl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22: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Na(Z=11), Mg(Z=12), Al(Z=13),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sắp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xếp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hiđroxit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NaOH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Al(OH)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Mg(OH)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dần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bazơ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314741" w:rsidRPr="00314741" w:rsidTr="00314741"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NaOH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&lt; Al(OH)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&lt; Mg(OH)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Mg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(OH)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&lt; Al(OH)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&lt;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NaOH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14741" w:rsidRPr="00314741" w:rsidTr="00314741"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Al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(OH)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&lt; Mg(OH)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&lt;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NaOH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NaOH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&lt; Mg(OH)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&lt; Al(OH)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23: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Sắp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xếp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CO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H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SiO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HNO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dần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axit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314741" w:rsidRPr="00314741" w:rsidTr="00314741"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&gt; HNO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&gt; H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HNO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&gt; H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&gt; H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14741" w:rsidRPr="00314741" w:rsidTr="00314741"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HNO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&gt; H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&gt; H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&gt; H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&gt; HNO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24: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Công thức oxit cao nhất của nguyên tố R (Z = 17) là: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314741" w:rsidRPr="00314741" w:rsidTr="00314741"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R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pt-BR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pt-BR"/>
              </w:rPr>
              <w:t>7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pt-BR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pt-BR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pt-BR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pt-BR"/>
              </w:rPr>
              <w:t>5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pt-BR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O.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25: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l-PL"/>
        </w:rPr>
        <w:t>Nguyên tố R thuộc chu kì 3, nhóm VIIA của bảng tuần hoàn các nguyên tố hóa học. Công thức oxit cao nhất của R là: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314741" w:rsidRPr="00314741" w:rsidTr="00314741"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l-PL"/>
              </w:rPr>
              <w:t>R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pl-PL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l-PL"/>
              </w:rPr>
              <w:t>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pl-PL"/>
              </w:rPr>
              <w:t>7.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l-PL"/>
              </w:rPr>
              <w:t>R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pl-PL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l-PL"/>
              </w:rPr>
              <w:t>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pl-PL"/>
              </w:rPr>
              <w:t>.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26: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X, Y, Z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electron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lượt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1s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2s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2p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6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3s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1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 1s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2s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2p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6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3s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 1s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2s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2p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6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3s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3p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1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Dãy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xếp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dần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sang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314741" w:rsidRPr="00314741" w:rsidTr="00314741"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Z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Z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27: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de-DE"/>
        </w:rPr>
        <w:t>Một nguyên tố R có cấu hình electron: 1s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val="de-DE"/>
        </w:rPr>
        <w:t>2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de-DE"/>
        </w:rPr>
        <w:t>2s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val="de-DE"/>
        </w:rPr>
        <w:t>2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de-DE"/>
        </w:rPr>
        <w:t>2p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val="de-DE"/>
        </w:rPr>
        <w:t>3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de-DE"/>
        </w:rPr>
        <w:t>, công thức oxit cao nhất và hợp chất khí với hiđro và lần lượt là: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314741" w:rsidRPr="00314741" w:rsidTr="00314741"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de-DE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de-DE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, RH.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de-DE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de-DE"/>
              </w:rPr>
              <w:t>7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, RH.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R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de-DE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de-DE"/>
              </w:rPr>
              <w:t>5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, RH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de-DE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de-DE"/>
              </w:rPr>
              <w:t>2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O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de-DE"/>
              </w:rPr>
              <w:t>5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, RH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de-DE"/>
              </w:rPr>
              <w:t>5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>.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28: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l-PL"/>
        </w:rPr>
        <w:t xml:space="preserve">Nguyên tố R thuộc nhóm VIA của bảng tuần hoàn các nguyên tố hóa </w:t>
      </w:r>
      <w:proofErr w:type="gram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l-PL"/>
        </w:rPr>
        <w:t>học.Công</w:t>
      </w:r>
      <w:proofErr w:type="gram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l-PL"/>
        </w:rPr>
        <w:t xml:space="preserve"> thức hợp chất khí với H của R là:</w:t>
      </w:r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314741" w:rsidRPr="00314741" w:rsidTr="00314741"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RH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RH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pl-PL"/>
              </w:rPr>
              <w:t>RH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pl-PL"/>
              </w:rPr>
              <w:t>.</w:t>
            </w:r>
          </w:p>
        </w:tc>
        <w:tc>
          <w:tcPr>
            <w:tcW w:w="2638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RH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29: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Vị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trí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tố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X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trong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bảng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HTTH là chu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kì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3,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nhóm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VIA.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Điều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nào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sau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đây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đúng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khi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nói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về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proofErr w:type="gram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tố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?</w:t>
      </w:r>
      <w:proofErr w:type="gram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314741" w:rsidRPr="00314741" w:rsidTr="00314741"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khí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X 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hiđro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XH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fr-FR"/>
              </w:rPr>
              <w:t>3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.</w:t>
            </w:r>
          </w:p>
        </w:tc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Nguyên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tố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X 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có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hóa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trị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cao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nhất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với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oxi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là 6.</w:t>
            </w:r>
          </w:p>
        </w:tc>
      </w:tr>
      <w:tr w:rsidR="00314741" w:rsidRPr="00314741" w:rsidTr="00314741"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X 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electron.</w:t>
            </w:r>
          </w:p>
        </w:tc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X 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6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electron.</w:t>
            </w:r>
          </w:p>
        </w:tc>
      </w:tr>
    </w:tbl>
    <w:p w:rsidR="00314741" w:rsidRPr="00314741" w:rsidRDefault="00314741" w:rsidP="003147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147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30:</w:t>
      </w:r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tố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canxi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(Ca)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số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hiệu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tử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là 20, chu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kì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4,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nhóm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IIA.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Điều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khẳng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định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nào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sau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đây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về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nguyên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tố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canxi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là </w:t>
      </w:r>
      <w:proofErr w:type="spellStart"/>
      <w:proofErr w:type="gramStart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sai</w:t>
      </w:r>
      <w:proofErr w:type="spellEnd"/>
      <w:r w:rsidRPr="003147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?</w:t>
      </w:r>
      <w:proofErr w:type="gramEnd"/>
    </w:p>
    <w:tbl>
      <w:tblPr>
        <w:tblW w:w="10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5336"/>
      </w:tblGrid>
      <w:tr w:rsidR="00314741" w:rsidRPr="00314741" w:rsidTr="00314741"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Vỏ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canxi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electron</w:t>
            </w:r>
          </w:p>
        </w:tc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Hạt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canxi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20 proton</w:t>
            </w:r>
          </w:p>
        </w:tc>
      </w:tr>
      <w:tr w:rsidR="00314741" w:rsidRPr="00314741" w:rsidTr="00314741"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C.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Canxi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là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một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phi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kim</w:t>
            </w:r>
            <w:proofErr w:type="spellEnd"/>
          </w:p>
        </w:tc>
        <w:tc>
          <w:tcPr>
            <w:tcW w:w="5306" w:type="dxa"/>
            <w:vAlign w:val="center"/>
            <w:hideMark/>
          </w:tcPr>
          <w:p w:rsidR="00314741" w:rsidRPr="00314741" w:rsidRDefault="00314741" w:rsidP="003147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147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D.</w:t>
            </w:r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electron ở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vỏ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canxi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3147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20</w:t>
            </w:r>
          </w:p>
        </w:tc>
      </w:tr>
    </w:tbl>
    <w:p w:rsidR="00F062CF" w:rsidRPr="00314741" w:rsidRDefault="00F062CF" w:rsidP="0031474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062CF" w:rsidRPr="00314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41"/>
    <w:rsid w:val="00314741"/>
    <w:rsid w:val="00F0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EEBD"/>
  <w15:chartTrackingRefBased/>
  <w15:docId w15:val="{30CCCE0A-856B-438F-87E5-FCBA51EB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47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nt-page-total">
    <w:name w:val="print-page-total"/>
    <w:basedOn w:val="DefaultParagraphFont"/>
    <w:rsid w:val="00314741"/>
  </w:style>
  <w:style w:type="character" w:customStyle="1" w:styleId="subject-header">
    <w:name w:val="subject-header"/>
    <w:basedOn w:val="DefaultParagraphFont"/>
    <w:rsid w:val="00314741"/>
  </w:style>
  <w:style w:type="character" w:customStyle="1" w:styleId="has-line">
    <w:name w:val="has-line"/>
    <w:basedOn w:val="DefaultParagraphFont"/>
    <w:rsid w:val="00314741"/>
  </w:style>
  <w:style w:type="paragraph" w:customStyle="1" w:styleId="mb-5">
    <w:name w:val="mb-5"/>
    <w:basedOn w:val="Normal"/>
    <w:rsid w:val="0031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oice-plan">
    <w:name w:val="choice-plan"/>
    <w:basedOn w:val="DefaultParagraphFont"/>
    <w:rsid w:val="00314741"/>
  </w:style>
  <w:style w:type="character" w:customStyle="1" w:styleId="choice-answer">
    <w:name w:val="choice-answer"/>
    <w:basedOn w:val="DefaultParagraphFont"/>
    <w:rsid w:val="00314741"/>
  </w:style>
  <w:style w:type="character" w:customStyle="1" w:styleId="print-page-no">
    <w:name w:val="print-page-no"/>
    <w:basedOn w:val="DefaultParagraphFont"/>
    <w:rsid w:val="00314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8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761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6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6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9117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40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3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8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uto"/>
                            <w:left w:val="single" w:sz="6" w:space="5" w:color="auto"/>
                            <w:bottom w:val="single" w:sz="6" w:space="5" w:color="auto"/>
                            <w:right w:val="single" w:sz="6" w:space="5" w:color="auto"/>
                          </w:divBdr>
                        </w:div>
                      </w:divsChild>
                    </w:div>
                  </w:divsChild>
                </w:div>
                <w:div w:id="18297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3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538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6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62071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9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KHC</dc:creator>
  <cp:keywords/>
  <dc:description/>
  <cp:lastModifiedBy>KHC</cp:lastModifiedBy>
  <cp:revision>1</cp:revision>
  <dcterms:created xsi:type="dcterms:W3CDTF">2021-10-08T14:06:00Z</dcterms:created>
  <dcterms:modified xsi:type="dcterms:W3CDTF">2021-10-08T14:11:00Z</dcterms:modified>
</cp:coreProperties>
</file>